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168F" w14:textId="5C63A2FF" w:rsidR="00E86385" w:rsidRDefault="0067720F" w:rsidP="00EF074B">
      <w:pPr>
        <w:widowControl/>
        <w:jc w:val="center"/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</w:pPr>
      <w:r w:rsidRPr="0098612F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>Guideline</w:t>
      </w:r>
      <w:r w:rsidR="00C77C1A" w:rsidRPr="0098612F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>s</w:t>
      </w:r>
      <w:r w:rsidRPr="0098612F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 xml:space="preserve"> for</w:t>
      </w:r>
      <w:r w:rsidRPr="001A7115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8"/>
          <w:u w:val="single"/>
        </w:rPr>
        <w:t xml:space="preserve"> </w:t>
      </w:r>
      <w:r w:rsidR="00985E74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 xml:space="preserve">SDGs </w:t>
      </w:r>
      <w:r w:rsidRPr="0098612F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>Online Cross-Registratio</w:t>
      </w:r>
      <w:r w:rsidR="00985E74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>n</w:t>
      </w:r>
      <w:r w:rsidRPr="0098612F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 xml:space="preserve">: </w:t>
      </w:r>
    </w:p>
    <w:p w14:paraId="69B980A1" w14:textId="5E497258" w:rsidR="0067720F" w:rsidRPr="0098612F" w:rsidRDefault="008C7596" w:rsidP="008C7596">
      <w:pPr>
        <w:widowControl/>
        <w:shd w:val="clear" w:color="auto" w:fill="FFFFFF"/>
        <w:jc w:val="center"/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</w:pPr>
      <w:r w:rsidRPr="007C2AC6">
        <w:rPr>
          <w:rFonts w:ascii="Arial" w:hAnsi="Arial" w:cs="Arial"/>
          <w:b/>
          <w:color w:val="500050"/>
          <w:sz w:val="28"/>
          <w:szCs w:val="28"/>
          <w:u w:val="single"/>
          <w:shd w:val="clear" w:color="auto" w:fill="FFFFFF"/>
        </w:rPr>
        <w:t>Online Exchange Program (OEP) focusing on SDGs</w:t>
      </w:r>
      <w:r w:rsidRPr="0098612F" w:rsidDel="008C7596">
        <w:rPr>
          <w:rFonts w:ascii="Arial" w:eastAsia="HGPｺﾞｼｯｸM" w:hAnsi="Arial" w:cs="Arial"/>
          <w:b/>
          <w:color w:val="222222"/>
          <w:w w:val="90"/>
          <w:kern w:val="0"/>
          <w:sz w:val="28"/>
          <w:szCs w:val="24"/>
          <w:u w:val="single"/>
        </w:rPr>
        <w:t xml:space="preserve"> </w:t>
      </w:r>
    </w:p>
    <w:p w14:paraId="6D9579FC" w14:textId="77777777" w:rsidR="0067720F" w:rsidRPr="00B16FF8" w:rsidRDefault="0067720F" w:rsidP="0067720F">
      <w:pPr>
        <w:widowControl/>
        <w:shd w:val="clear" w:color="auto" w:fill="FFFFFF"/>
        <w:jc w:val="left"/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</w:pPr>
    </w:p>
    <w:p w14:paraId="57426772" w14:textId="39D78965" w:rsidR="002C28D1" w:rsidRPr="002C28D1" w:rsidRDefault="002C28D1" w:rsidP="002E5CA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</w:pPr>
      <w:r w:rsidRPr="002C28D1">
        <w:rPr>
          <w:rFonts w:ascii="Arial" w:eastAsia="HGPｺﾞｼｯｸM" w:hAnsi="Arial" w:cs="Arial" w:hint="eastAsia"/>
          <w:b/>
          <w:color w:val="222222"/>
          <w:kern w:val="0"/>
          <w:sz w:val="24"/>
          <w:szCs w:val="24"/>
        </w:rPr>
        <w:t>A</w:t>
      </w:r>
      <w:r w:rsidRPr="002C28D1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cademic courses </w:t>
      </w:r>
      <w:r w:rsidR="00070E0F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in</w:t>
      </w:r>
      <w:r w:rsidRPr="002C28D1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</w:t>
      </w:r>
      <w:r w:rsidR="00AD146A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the</w:t>
      </w:r>
      <w:r w:rsidR="00643CF7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</w:t>
      </w:r>
      <w:r w:rsidR="00EF074B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OEP</w:t>
      </w:r>
      <w:r w:rsidR="001A7115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</w:t>
      </w:r>
      <w:r w:rsidR="00EF074B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(Online Exch</w:t>
      </w:r>
      <w:r w:rsidR="00643CF7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a</w:t>
      </w:r>
      <w:r w:rsidR="00EF074B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nge Program)</w:t>
      </w:r>
      <w:r w:rsidRPr="002C28D1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:</w:t>
      </w:r>
    </w:p>
    <w:p w14:paraId="00AAD20A" w14:textId="2AED8646" w:rsidR="002C28D1" w:rsidRDefault="00070E0F" w:rsidP="002C28D1">
      <w:pPr>
        <w:pStyle w:val="a7"/>
        <w:widowControl/>
        <w:shd w:val="clear" w:color="auto" w:fill="FFFFFF"/>
        <w:ind w:leftChars="0" w:left="36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>C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ourses 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>i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n the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are preferably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>, but not necessarily,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live-online academic courses with 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an 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interactive </w:t>
      </w:r>
      <w:r w:rsidR="00DD1DA2">
        <w:rPr>
          <w:rFonts w:ascii="Arial" w:eastAsia="HGPｺﾞｼｯｸM" w:hAnsi="Arial" w:cs="Arial"/>
          <w:color w:val="222222"/>
          <w:kern w:val="0"/>
          <w:sz w:val="24"/>
          <w:szCs w:val="24"/>
        </w:rPr>
        <w:t>setting.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>Toyo University would like to encourag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e op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portunities 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>for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student interaction during the course work. 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course topic of the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programs should be related to SDGs or environmental issues.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</w:p>
    <w:p w14:paraId="4BE3969A" w14:textId="77777777" w:rsidR="00493A72" w:rsidRPr="00493A72" w:rsidRDefault="00493A72" w:rsidP="002C28D1">
      <w:pPr>
        <w:pStyle w:val="a7"/>
        <w:widowControl/>
        <w:shd w:val="clear" w:color="auto" w:fill="FFFFFF"/>
        <w:ind w:leftChars="0" w:left="36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</w:p>
    <w:p w14:paraId="1A759B9B" w14:textId="489FA465" w:rsidR="0067720F" w:rsidRDefault="00DB195F" w:rsidP="002E5CA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 w:rsidRPr="00DB195F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Number of students to be accepted and sent</w:t>
      </w:r>
      <w:r w:rsidR="00AE017E"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</w:t>
      </w:r>
      <w:r w:rsidR="00070E0F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to </w:t>
      </w:r>
      <w:r w:rsidR="00EF074B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OEP</w:t>
      </w:r>
      <w:r w:rsidR="00B73A54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c</w:t>
      </w:r>
      <w:r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ourses</w:t>
      </w:r>
      <w:r w:rsidR="00AE017E"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:</w:t>
      </w:r>
      <w:r w:rsidR="00AE017E"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br/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Each faculty/department/university 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>participating in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is recommended to offer </w:t>
      </w:r>
      <w:r w:rsidR="00105AEB" w:rsidRPr="008127D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 xml:space="preserve">one </w:t>
      </w:r>
      <w:r w:rsidR="00C93AA1">
        <w:rPr>
          <w:rFonts w:ascii="Arial" w:eastAsia="HGPｺﾞｼｯｸM" w:hAnsi="Arial" w:cs="Arial" w:hint="eastAsia"/>
          <w:color w:val="222222"/>
          <w:kern w:val="0"/>
          <w:sz w:val="24"/>
          <w:szCs w:val="24"/>
          <w:highlight w:val="yellow"/>
        </w:rPr>
        <w:t>t</w:t>
      </w:r>
      <w:r w:rsidR="00C93AA1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>o</w:t>
      </w:r>
      <w:r w:rsidR="00105AEB" w:rsidRPr="008127D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 xml:space="preserve"> </w:t>
      </w:r>
      <w:r w:rsidR="008127D3" w:rsidRPr="008127D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>five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courses 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related to 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>SDGs or environmental issues.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Participating institutions are</w:t>
      </w:r>
      <w:r w:rsid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expected to 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reserve 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at least two seats per course 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for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exchange students. Each faculty/department/university can then send the same number of students to other participating universities/institutions. 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With the permission of the 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>host university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,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it is possible to send students 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a number of students that</w:t>
      </w:r>
      <w:r w:rsidR="00070E0F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>exceed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s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the home institutions’ capacity to receive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 w:rsidR="00105AEB" w:rsidRPr="00105AEB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students. The tuition fee should be waived.</w:t>
      </w:r>
      <w:r w:rsid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br/>
      </w:r>
    </w:p>
    <w:p w14:paraId="71BA7272" w14:textId="2F72866B" w:rsidR="00F07919" w:rsidRPr="00BB3603" w:rsidRDefault="00CF1D7B" w:rsidP="00C11C19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</w:pPr>
      <w:r w:rsidRPr="00BB3603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Application</w:t>
      </w:r>
      <w:r w:rsidR="00F07919" w:rsidRPr="00BB3603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:</w:t>
      </w:r>
    </w:p>
    <w:p w14:paraId="1C59F95F" w14:textId="7F0A6CCC" w:rsidR="00F07919" w:rsidRDefault="00F07919" w:rsidP="00ED568A">
      <w:pPr>
        <w:pStyle w:val="a7"/>
        <w:widowControl/>
        <w:shd w:val="clear" w:color="auto" w:fill="FFFFFF"/>
        <w:ind w:leftChars="0" w:left="36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Students who want to participate in OEP </w:t>
      </w:r>
      <w:r w:rsidR="00CF1D7B"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should </w:t>
      </w:r>
      <w:r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contact </w:t>
      </w:r>
      <w:r w:rsidR="00CF1D7B" w:rsidRPr="00BB3603">
        <w:rPr>
          <w:rFonts w:ascii="Arial" w:eastAsia="HGPｺﾞｼｯｸM" w:hAnsi="Arial" w:cs="Arial" w:hint="eastAsia"/>
          <w:color w:val="222222"/>
          <w:kern w:val="0"/>
          <w:sz w:val="24"/>
          <w:szCs w:val="24"/>
        </w:rPr>
        <w:t>h</w:t>
      </w:r>
      <w:r w:rsidR="00CF1D7B"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>ome institution coordinators</w:t>
      </w:r>
      <w:r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>. With an approval by their home university, students will apply for the program</w:t>
      </w:r>
      <w:r w:rsidR="00CF1D7B"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from the designated online form</w:t>
      </w:r>
      <w:r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>.</w:t>
      </w:r>
      <w:r w:rsidR="00BB3603">
        <w:rPr>
          <w:rFonts w:ascii="Arial" w:eastAsia="HGPｺﾞｼｯｸM" w:hAnsi="Arial" w:cs="Arial" w:hint="eastAsia"/>
          <w:color w:val="222222"/>
          <w:kern w:val="0"/>
          <w:sz w:val="24"/>
          <w:szCs w:val="24"/>
        </w:rPr>
        <w:t xml:space="preserve">　</w:t>
      </w:r>
      <w:r w:rsidR="00BB3603">
        <w:rPr>
          <w:rFonts w:ascii="Arial" w:eastAsia="HGPｺﾞｼｯｸM" w:hAnsi="Arial" w:cs="Arial" w:hint="eastAsia"/>
          <w:color w:val="222222"/>
          <w:kern w:val="0"/>
          <w:sz w:val="24"/>
          <w:szCs w:val="24"/>
        </w:rPr>
        <w:t xml:space="preserve">The </w:t>
      </w:r>
      <w:r w:rsidR="00CF1D7B" w:rsidRPr="00BB3603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URL of the form will be given to coordinator by the OEP Secretariat (Toyo University). </w:t>
      </w:r>
    </w:p>
    <w:p w14:paraId="48487A30" w14:textId="02D40F42" w:rsidR="00F07919" w:rsidRPr="00BB3603" w:rsidRDefault="00F07919" w:rsidP="00BB3603">
      <w:pPr>
        <w:pStyle w:val="a7"/>
        <w:widowControl/>
        <w:shd w:val="clear" w:color="auto" w:fill="FFFFFF"/>
        <w:ind w:leftChars="0" w:left="36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</w:p>
    <w:p w14:paraId="612DFF18" w14:textId="00344EAA" w:rsidR="0026390A" w:rsidRPr="00C11C19" w:rsidRDefault="00B16FF8" w:rsidP="00C11C19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 w:rsidRPr="00B16FF8">
        <w:rPr>
          <w:rFonts w:ascii="Arial" w:eastAsia="HGPｺﾞｼｯｸM" w:hAnsi="Arial" w:cs="Arial" w:hint="eastAsia"/>
          <w:b/>
          <w:color w:val="222222"/>
          <w:kern w:val="0"/>
          <w:sz w:val="24"/>
          <w:szCs w:val="24"/>
        </w:rPr>
        <w:t>N</w:t>
      </w:r>
      <w:r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umber of </w:t>
      </w:r>
      <w:r w:rsidR="009F1F1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course</w:t>
      </w:r>
      <w:r w:rsidR="009F1F18"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s </w:t>
      </w:r>
      <w:r w:rsidR="00070E0F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to which </w:t>
      </w:r>
      <w:r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exchange student</w:t>
      </w:r>
      <w:r w:rsidR="00070E0F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s</w:t>
      </w:r>
      <w:r w:rsidRPr="00B16FF8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can apply: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br/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Stude</w:t>
      </w:r>
      <w:r w:rsidR="00643CF7">
        <w:rPr>
          <w:rFonts w:ascii="Arial" w:eastAsia="HGPｺﾞｼｯｸM" w:hAnsi="Arial" w:cs="Arial"/>
          <w:color w:val="222222"/>
          <w:kern w:val="0"/>
          <w:sz w:val="24"/>
          <w:szCs w:val="24"/>
        </w:rPr>
        <w:t>n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>ts</w:t>
      </w:r>
      <w:r w:rsidR="009F1F18"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9F1F18">
        <w:rPr>
          <w:rFonts w:ascii="Arial" w:eastAsia="HGPｺﾞｼｯｸM" w:hAnsi="Arial" w:cs="Arial"/>
          <w:color w:val="222222"/>
          <w:kern w:val="0"/>
          <w:sz w:val="24"/>
          <w:szCs w:val="24"/>
        </w:rPr>
        <w:t>can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apply for </w:t>
      </w:r>
      <w:r w:rsidRPr="00BB360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 xml:space="preserve">up to </w:t>
      </w:r>
      <w:r w:rsidR="00897C25" w:rsidRPr="00BB360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>two</w:t>
      </w:r>
      <w:r w:rsidRPr="00BB360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 xml:space="preserve"> </w:t>
      </w:r>
      <w:r w:rsidR="009F1F18" w:rsidRPr="00BB360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>courses</w:t>
      </w:r>
      <w:r w:rsidR="009F1F1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at the same time</w:t>
      </w:r>
      <w:r w:rsidR="002C28D1">
        <w:rPr>
          <w:rFonts w:ascii="Arial" w:eastAsia="HGPｺﾞｼｯｸM" w:hAnsi="Arial" w:cs="Arial" w:hint="eastAsia"/>
          <w:color w:val="222222"/>
          <w:kern w:val="0"/>
          <w:sz w:val="24"/>
          <w:szCs w:val="24"/>
        </w:rPr>
        <w:t xml:space="preserve"> </w:t>
      </w:r>
      <w:r w:rsidR="002C28D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from the course list offered by participating </w:t>
      </w:r>
      <w:r w:rsidR="00E75DA7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universities </w:t>
      </w:r>
      <w:r w:rsidR="00074855" w:rsidRPr="00074855">
        <w:rPr>
          <w:rFonts w:ascii="Arial" w:eastAsia="HGPｺﾞｼｯｸM" w:hAnsi="Arial" w:cs="Arial"/>
          <w:kern w:val="0"/>
          <w:sz w:val="24"/>
          <w:szCs w:val="24"/>
        </w:rPr>
        <w:t>(</w:t>
      </w:r>
      <w:r w:rsidR="00074855" w:rsidRPr="00BB3603">
        <w:rPr>
          <w:rFonts w:ascii="Arial" w:eastAsia="HGPｺﾞｼｯｸM" w:hAnsi="Arial" w:cs="Arial"/>
          <w:kern w:val="0"/>
          <w:sz w:val="24"/>
          <w:szCs w:val="24"/>
          <w:highlight w:val="yellow"/>
        </w:rPr>
        <w:t>Up to 4th candidate course can be filled out)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. This </w:t>
      </w:r>
      <w:r w:rsidR="009F1F18">
        <w:rPr>
          <w:rFonts w:ascii="Arial" w:eastAsia="HGPｺﾞｼｯｸM" w:hAnsi="Arial" w:cs="Arial"/>
          <w:color w:val="222222"/>
          <w:kern w:val="0"/>
          <w:sz w:val="24"/>
          <w:szCs w:val="24"/>
        </w:rPr>
        <w:t>condition aims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to increase </w:t>
      </w:r>
      <w:r w:rsidR="009F1F1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number of 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>participants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in </w:t>
      </w:r>
      <w:r w:rsidR="009F1F1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DB195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Courses 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and to provide students </w:t>
      </w:r>
      <w:r w:rsidR="00402275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as 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many 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>opportunit</w:t>
      </w:r>
      <w:r w:rsidR="00070E0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ies </w:t>
      </w:r>
      <w:r w:rsidR="00E72A01">
        <w:rPr>
          <w:rFonts w:ascii="Arial" w:eastAsia="HGPｺﾞｼｯｸM" w:hAnsi="Arial" w:cs="Arial"/>
          <w:color w:val="222222"/>
          <w:kern w:val="0"/>
          <w:sz w:val="24"/>
          <w:szCs w:val="24"/>
        </w:rPr>
        <w:t>as possible to join them</w:t>
      </w:r>
      <w:r w:rsidRPr="00B16FF8">
        <w:rPr>
          <w:rFonts w:ascii="Arial" w:eastAsia="HGPｺﾞｼｯｸM" w:hAnsi="Arial" w:cs="Arial"/>
          <w:color w:val="222222"/>
          <w:kern w:val="0"/>
          <w:sz w:val="24"/>
          <w:szCs w:val="24"/>
        </w:rPr>
        <w:t>.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br/>
      </w:r>
    </w:p>
    <w:p w14:paraId="72A6CC41" w14:textId="1A49793A" w:rsidR="00402275" w:rsidRDefault="008A6F83" w:rsidP="002E5CA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 w:rsidRPr="005A2E7D">
        <w:rPr>
          <w:rFonts w:ascii="Arial" w:eastAsia="HGPｺﾞｼｯｸM" w:hAnsi="Arial" w:cs="Arial" w:hint="eastAsia"/>
          <w:b/>
          <w:color w:val="222222"/>
          <w:kern w:val="0"/>
          <w:sz w:val="24"/>
          <w:szCs w:val="24"/>
        </w:rPr>
        <w:t>C</w:t>
      </w:r>
      <w:r w:rsidRPr="005A2E7D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ancellation of </w:t>
      </w:r>
      <w:r w:rsidR="00402275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course attendance</w:t>
      </w:r>
      <w:r w:rsidRPr="005A2E7D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:</w:t>
      </w:r>
    </w:p>
    <w:p w14:paraId="03F6C151" w14:textId="6B73B417" w:rsidR="008A6F83" w:rsidRPr="005A2E7D" w:rsidRDefault="00402275" w:rsidP="0098612F">
      <w:pPr>
        <w:pStyle w:val="a7"/>
        <w:widowControl/>
        <w:shd w:val="clear" w:color="auto" w:fill="FFFFFF"/>
        <w:ind w:leftChars="0" w:left="360"/>
        <w:rPr>
          <w:rFonts w:ascii="Arial" w:eastAsia="HGPｺﾞｼｯｸM" w:hAnsi="Arial" w:cs="Arial"/>
          <w:color w:val="222222"/>
          <w:kern w:val="0"/>
          <w:sz w:val="24"/>
          <w:szCs w:val="24"/>
        </w:rPr>
      </w:pP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>As a general rule, students are no</w:t>
      </w:r>
      <w:r w:rsidR="008D00A6">
        <w:rPr>
          <w:rFonts w:ascii="Arial" w:eastAsia="HGPｺﾞｼｯｸM" w:hAnsi="Arial" w:cs="Arial"/>
          <w:color w:val="222222"/>
          <w:kern w:val="0"/>
          <w:sz w:val="24"/>
          <w:szCs w:val="24"/>
        </w:rPr>
        <w:t>t permitted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to </w:t>
      </w:r>
      <w:r w:rsidR="008A6F83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>cancel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8A6F83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>or withdraw</w:t>
      </w:r>
      <w:r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from a course for which they have been accepted. </w:t>
      </w:r>
      <w:r w:rsidR="008A6F83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If a student is obliged to do so because of </w:t>
      </w:r>
      <w:r w:rsidR="008D00A6">
        <w:rPr>
          <w:rFonts w:ascii="Arial" w:eastAsia="HGPｺﾞｼｯｸM" w:hAnsi="Arial" w:cs="Arial"/>
          <w:color w:val="222222"/>
          <w:kern w:val="0"/>
          <w:sz w:val="24"/>
          <w:szCs w:val="24"/>
        </w:rPr>
        <w:t>f</w:t>
      </w:r>
      <w:r w:rsidR="008D00A6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orce </w:t>
      </w:r>
      <w:r w:rsidR="008D00A6">
        <w:rPr>
          <w:rFonts w:ascii="Arial" w:eastAsia="HGPｺﾞｼｯｸM" w:hAnsi="Arial" w:cs="Arial"/>
          <w:color w:val="222222"/>
          <w:kern w:val="0"/>
          <w:sz w:val="24"/>
          <w:szCs w:val="24"/>
        </w:rPr>
        <w:t>m</w:t>
      </w:r>
      <w:r w:rsidR="008D00A6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>ajeure</w:t>
      </w:r>
      <w:r w:rsidR="00E72A0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, </w:t>
      </w:r>
      <w:r w:rsidR="004651C5">
        <w:rPr>
          <w:rFonts w:ascii="Arial" w:eastAsia="HGPｺﾞｼｯｸM" w:hAnsi="Arial" w:cs="Arial"/>
          <w:color w:val="222222"/>
          <w:kern w:val="0"/>
          <w:sz w:val="24"/>
          <w:szCs w:val="24"/>
        </w:rPr>
        <w:t>contingent reasons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>,</w:t>
      </w:r>
      <w:r w:rsidR="00DB195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or</w:t>
      </w:r>
      <w:r w:rsidR="00DB195F" w:rsidRPr="00DB195F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personal reasons,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E72A0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</w:t>
      </w:r>
      <w:r w:rsidR="00E72A01">
        <w:rPr>
          <w:rFonts w:ascii="Arial" w:eastAsia="HGPｺﾞｼｯｸM" w:hAnsi="Arial" w:cs="Arial"/>
          <w:color w:val="222222"/>
          <w:kern w:val="0"/>
          <w:sz w:val="24"/>
          <w:szCs w:val="24"/>
        </w:rPr>
        <w:lastRenderedPageBreak/>
        <w:t>student</w:t>
      </w:r>
      <w:r w:rsidR="008D00A6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is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require</w:t>
      </w:r>
      <w:r w:rsidR="00E60D16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>d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to inform </w:t>
      </w:r>
      <w:r w:rsidR="008D00A6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persons in charge at the host university/institution as well as </w:t>
      </w:r>
      <w:r w:rsidR="008D00A6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Secretariat </w:t>
      </w:r>
      <w:r w:rsidR="00897C25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at Toyo University 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through </w:t>
      </w:r>
      <w:r w:rsidR="00E72A01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the student’s </w:t>
      </w:r>
      <w:r w:rsidR="00274E7B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t>home university/institution.</w:t>
      </w:r>
      <w:r w:rsidR="00E60D16" w:rsidRPr="005A2E7D">
        <w:rPr>
          <w:rFonts w:ascii="Arial" w:eastAsia="HGPｺﾞｼｯｸM" w:hAnsi="Arial" w:cs="Arial"/>
          <w:color w:val="222222"/>
          <w:kern w:val="0"/>
          <w:sz w:val="24"/>
          <w:szCs w:val="24"/>
        </w:rPr>
        <w:br/>
      </w:r>
    </w:p>
    <w:p w14:paraId="0D2A7730" w14:textId="5204EA4F" w:rsidR="00E86385" w:rsidRPr="0098612F" w:rsidRDefault="00E60D16" w:rsidP="006765EC">
      <w:pPr>
        <w:pStyle w:val="a7"/>
        <w:widowControl/>
        <w:numPr>
          <w:ilvl w:val="0"/>
          <w:numId w:val="1"/>
        </w:numPr>
        <w:shd w:val="clear" w:color="auto" w:fill="FFFFFF"/>
        <w:ind w:leftChars="0"/>
      </w:pPr>
      <w:r w:rsidRPr="006765EC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Report</w:t>
      </w:r>
      <w:r w:rsidR="008D00A6" w:rsidRPr="006765EC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ing</w:t>
      </w:r>
      <w:r w:rsidRPr="006765EC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after </w:t>
      </w:r>
      <w:r w:rsidR="008D00A6" w:rsidRPr="006765EC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course completion</w:t>
      </w:r>
      <w:r w:rsidRPr="006765EC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:</w:t>
      </w:r>
      <w:r w:rsidRPr="006765EC">
        <w:rPr>
          <w:rFonts w:ascii="Arial" w:eastAsia="HGPｺﾞｼｯｸM" w:hAnsi="Arial" w:cs="Arial"/>
          <w:color w:val="222222"/>
          <w:kern w:val="0"/>
          <w:sz w:val="24"/>
          <w:szCs w:val="24"/>
        </w:rPr>
        <w:br/>
      </w:r>
      <w:r w:rsidR="007C673A">
        <w:rPr>
          <w:rFonts w:ascii="Arial" w:eastAsia="HGPｺﾞｼｯｸM" w:hAnsi="Arial" w:cs="Arial"/>
          <w:color w:val="222222"/>
          <w:kern w:val="0"/>
          <w:sz w:val="24"/>
          <w:szCs w:val="24"/>
        </w:rPr>
        <w:t>At the completion of the semester, h</w:t>
      </w:r>
      <w:r w:rsidR="00023480" w:rsidRPr="00023480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ost universities/institutions are required to report to the </w:t>
      </w:r>
      <w:r w:rsidR="00EF074B">
        <w:rPr>
          <w:rFonts w:ascii="Arial" w:eastAsia="HGPｺﾞｼｯｸM" w:hAnsi="Arial" w:cs="Arial"/>
          <w:color w:val="222222"/>
          <w:kern w:val="0"/>
          <w:sz w:val="24"/>
          <w:szCs w:val="24"/>
        </w:rPr>
        <w:t>OEP</w:t>
      </w:r>
      <w:r w:rsidR="00023480" w:rsidRPr="00023480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Secretariat at Toyo University after the completion status of the participating students (including UCTS credit conversion).</w:t>
      </w:r>
      <w:r w:rsidR="006765EC" w:rsidRPr="00E75DA7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D85AAE" w:rsidRP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>The host universit</w:t>
      </w:r>
      <w:r w:rsid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>ies</w:t>
      </w:r>
      <w:r w:rsidR="00D85AAE" w:rsidRP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will issue t</w:t>
      </w:r>
      <w:r w:rsidR="00D85AAE" w:rsidRPr="00BB360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>ra</w:t>
      </w:r>
      <w:bookmarkStart w:id="0" w:name="_GoBack"/>
      <w:bookmarkEnd w:id="0"/>
      <w:r w:rsidR="00D85AAE" w:rsidRPr="00BB3603">
        <w:rPr>
          <w:rFonts w:ascii="Arial" w:eastAsia="HGPｺﾞｼｯｸM" w:hAnsi="Arial" w:cs="Arial"/>
          <w:color w:val="222222"/>
          <w:kern w:val="0"/>
          <w:sz w:val="24"/>
          <w:szCs w:val="24"/>
          <w:highlight w:val="yellow"/>
        </w:rPr>
        <w:t>nscripts</w:t>
      </w:r>
      <w:r w:rsidR="00D85AAE" w:rsidRP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and ensure that </w:t>
      </w:r>
      <w:r w:rsid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exchange </w:t>
      </w:r>
      <w:r w:rsidR="00D85AAE" w:rsidRP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>students can apply to their home university for credit</w:t>
      </w:r>
      <w:r w:rsid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recognition</w:t>
      </w:r>
      <w:r w:rsidR="00D85AAE" w:rsidRPr="00D85AAE">
        <w:rPr>
          <w:rFonts w:ascii="Arial" w:eastAsia="HGPｺﾞｼｯｸM" w:hAnsi="Arial" w:cs="Arial"/>
          <w:color w:val="222222"/>
          <w:kern w:val="0"/>
          <w:sz w:val="24"/>
          <w:szCs w:val="24"/>
        </w:rPr>
        <w:t>.</w:t>
      </w:r>
      <w:r w:rsidR="006765EC" w:rsidRPr="006765EC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For credit recognition, UCTS standards are recommended.</w:t>
      </w:r>
      <w:r w:rsidR="006765EC" w:rsidRPr="006765EC" w:rsidDel="006765EC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 </w:t>
      </w:r>
      <w:r w:rsidR="00E86385" w:rsidRPr="00E75DA7">
        <w:rPr>
          <w:rFonts w:ascii="Arial" w:eastAsia="HGPｺﾞｼｯｸM" w:hAnsi="Arial" w:cs="Arial" w:hint="eastAsia"/>
          <w:color w:val="222222"/>
          <w:kern w:val="0"/>
          <w:sz w:val="24"/>
          <w:szCs w:val="24"/>
        </w:rPr>
        <w:t xml:space="preserve">　</w:t>
      </w:r>
      <w:r w:rsidR="004651C5" w:rsidRPr="00E75DA7">
        <w:rPr>
          <w:rFonts w:ascii="Arial" w:eastAsia="HGPｺﾞｼｯｸM" w:hAnsi="Arial" w:cs="Arial"/>
          <w:color w:val="222222"/>
          <w:kern w:val="0"/>
          <w:sz w:val="24"/>
          <w:szCs w:val="24"/>
        </w:rPr>
        <w:t>(Note): UCTS:</w:t>
      </w:r>
      <w:r w:rsidR="004651C5" w:rsidRPr="00E86385">
        <w:t xml:space="preserve"> </w:t>
      </w:r>
      <w:r w:rsidR="004651C5" w:rsidRPr="00E75DA7">
        <w:rPr>
          <w:rFonts w:ascii="Arial" w:eastAsia="HGPｺﾞｼｯｸM" w:hAnsi="Arial" w:cs="Arial"/>
          <w:color w:val="222222"/>
          <w:kern w:val="0"/>
          <w:sz w:val="24"/>
          <w:szCs w:val="24"/>
        </w:rPr>
        <w:t xml:space="preserve">UMAP Credit Transfer Scheme </w:t>
      </w:r>
    </w:p>
    <w:p w14:paraId="515915DB" w14:textId="4E645B7D" w:rsidR="00DB195F" w:rsidRDefault="004651C5" w:rsidP="00170484">
      <w:pPr>
        <w:pStyle w:val="a7"/>
        <w:widowControl/>
        <w:shd w:val="clear" w:color="auto" w:fill="FFFFFF"/>
        <w:ind w:leftChars="0" w:left="360"/>
        <w:rPr>
          <w:w w:val="90"/>
        </w:rPr>
      </w:pPr>
      <w:r w:rsidRPr="0098612F">
        <w:rPr>
          <w:rFonts w:ascii="Arial" w:eastAsia="HGPｺﾞｼｯｸM" w:hAnsi="Arial" w:cs="Arial"/>
          <w:color w:val="222222"/>
          <w:w w:val="90"/>
          <w:kern w:val="0"/>
          <w:sz w:val="24"/>
          <w:szCs w:val="24"/>
        </w:rPr>
        <w:t>(</w:t>
      </w:r>
      <w:hyperlink r:id="rId8" w:history="1">
        <w:r w:rsidRPr="0098612F">
          <w:rPr>
            <w:rStyle w:val="a8"/>
            <w:w w:val="90"/>
          </w:rPr>
          <w:t>http://umap.org/wp-content/uploads/2019/12/UCTS_Users_Guide_Revision-1.1.pdf</w:t>
        </w:r>
      </w:hyperlink>
      <w:r w:rsidRPr="0098612F">
        <w:rPr>
          <w:w w:val="90"/>
        </w:rPr>
        <w:t>).</w:t>
      </w:r>
    </w:p>
    <w:p w14:paraId="7B16A6CB" w14:textId="410C748D" w:rsidR="006A59B1" w:rsidRDefault="006A59B1" w:rsidP="006A59B1">
      <w:pPr>
        <w:widowControl/>
        <w:shd w:val="clear" w:color="auto" w:fill="FFFFFF"/>
        <w:rPr>
          <w:w w:val="90"/>
        </w:rPr>
      </w:pPr>
    </w:p>
    <w:p w14:paraId="15E0256F" w14:textId="5308CF7E" w:rsidR="006A59B1" w:rsidRDefault="006A59B1" w:rsidP="006A59B1">
      <w:pPr>
        <w:widowControl/>
        <w:shd w:val="clear" w:color="auto" w:fill="FFFFFF"/>
        <w:rPr>
          <w:w w:val="90"/>
        </w:rPr>
      </w:pPr>
    </w:p>
    <w:p w14:paraId="140CE925" w14:textId="46792B5E" w:rsidR="006A59B1" w:rsidRDefault="006A59B1" w:rsidP="00C11C19">
      <w:pPr>
        <w:widowControl/>
        <w:shd w:val="clear" w:color="auto" w:fill="FFFFFF"/>
        <w:rPr>
          <w:rFonts w:ascii="Arial" w:eastAsiaTheme="majorHAnsi" w:hAnsi="Arial" w:cs="Arial"/>
          <w:b/>
          <w:sz w:val="22"/>
        </w:rPr>
      </w:pPr>
      <w:r w:rsidRPr="00A23BA8">
        <w:rPr>
          <w:rFonts w:ascii="Arial" w:eastAsiaTheme="majorHAnsi" w:hAnsi="Arial" w:cs="Arial"/>
          <w:b/>
          <w:sz w:val="22"/>
        </w:rPr>
        <w:t>＜</w:t>
      </w:r>
      <w:r w:rsidRPr="00A23BA8">
        <w:rPr>
          <w:rFonts w:ascii="Arial" w:eastAsiaTheme="majorHAnsi" w:hAnsi="Arial" w:cs="Arial"/>
          <w:b/>
          <w:sz w:val="22"/>
        </w:rPr>
        <w:t>Draft Schedule</w:t>
      </w:r>
      <w:r w:rsidR="00C11C19">
        <w:rPr>
          <w:rFonts w:ascii="Arial" w:eastAsiaTheme="majorHAnsi" w:hAnsi="Arial" w:cs="Arial" w:hint="eastAsia"/>
          <w:b/>
          <w:sz w:val="22"/>
        </w:rPr>
        <w:t xml:space="preserve"> </w:t>
      </w:r>
      <w:r w:rsidR="00C11C19">
        <w:rPr>
          <w:rFonts w:ascii="Arial" w:eastAsiaTheme="majorHAnsi" w:hAnsi="Arial" w:cs="Arial"/>
          <w:b/>
          <w:sz w:val="22"/>
        </w:rPr>
        <w:t>of the</w:t>
      </w:r>
      <w:r w:rsidR="00897C25">
        <w:rPr>
          <w:rFonts w:ascii="Arial" w:eastAsiaTheme="majorHAnsi" w:hAnsi="Arial" w:cs="Arial"/>
          <w:b/>
          <w:sz w:val="22"/>
        </w:rPr>
        <w:t xml:space="preserve"> </w:t>
      </w:r>
      <w:r w:rsidR="00EF074B">
        <w:rPr>
          <w:rFonts w:ascii="Arial" w:eastAsiaTheme="majorHAnsi" w:hAnsi="Arial" w:cs="Arial" w:hint="eastAsia"/>
          <w:b/>
          <w:sz w:val="22"/>
        </w:rPr>
        <w:t>OEP</w:t>
      </w:r>
      <w:r w:rsidR="00897C25">
        <w:rPr>
          <w:rFonts w:ascii="Arial" w:eastAsiaTheme="majorHAnsi" w:hAnsi="Arial" w:cs="Arial"/>
          <w:b/>
          <w:sz w:val="22"/>
        </w:rPr>
        <w:t xml:space="preserve"> (</w:t>
      </w:r>
      <w:r w:rsidR="00897C25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>Online</w:t>
      </w:r>
      <w:r w:rsidR="00EF074B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Exchange</w:t>
      </w:r>
      <w:r w:rsidR="00897C25">
        <w:rPr>
          <w:rFonts w:ascii="Arial" w:eastAsia="HGPｺﾞｼｯｸM" w:hAnsi="Arial" w:cs="Arial"/>
          <w:b/>
          <w:color w:val="222222"/>
          <w:kern w:val="0"/>
          <w:sz w:val="24"/>
          <w:szCs w:val="24"/>
        </w:rPr>
        <w:t xml:space="preserve"> Program</w:t>
      </w:r>
      <w:r w:rsidR="00897C25">
        <w:rPr>
          <w:rFonts w:ascii="Arial" w:eastAsiaTheme="majorHAnsi" w:hAnsi="Arial" w:cs="Arial"/>
          <w:b/>
          <w:sz w:val="22"/>
        </w:rPr>
        <w:t>)</w:t>
      </w:r>
      <w:r w:rsidRPr="00A23BA8">
        <w:rPr>
          <w:rFonts w:ascii="Arial" w:eastAsiaTheme="majorHAnsi" w:hAnsi="Arial" w:cs="Arial"/>
          <w:b/>
          <w:sz w:val="22"/>
        </w:rPr>
        <w:t>＞</w:t>
      </w:r>
    </w:p>
    <w:p w14:paraId="2F7BA430" w14:textId="061AB96B" w:rsidR="00A60B72" w:rsidRPr="005B4959" w:rsidRDefault="00E75DA7" w:rsidP="00A60B72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  <w:r w:rsidRPr="005B4959">
        <w:rPr>
          <w:rFonts w:ascii="Arial" w:eastAsiaTheme="majorHAnsi" w:hAnsi="Arial" w:cs="Arial"/>
          <w:sz w:val="22"/>
        </w:rPr>
        <w:t xml:space="preserve">0. </w:t>
      </w:r>
      <w:r w:rsidR="008127D3">
        <w:rPr>
          <w:rFonts w:ascii="Arial" w:eastAsiaTheme="majorHAnsi" w:hAnsi="Arial" w:cs="Arial"/>
          <w:sz w:val="22"/>
        </w:rPr>
        <w:t>May</w:t>
      </w:r>
      <w:r w:rsidRP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>10</w:t>
      </w:r>
      <w:r w:rsidRPr="005B4959">
        <w:rPr>
          <w:rFonts w:ascii="Arial" w:eastAsiaTheme="majorHAnsi" w:hAnsi="Arial" w:cs="Arial"/>
          <w:sz w:val="22"/>
        </w:rPr>
        <w:t xml:space="preserve"> - </w:t>
      </w:r>
      <w:r w:rsidR="008127D3">
        <w:rPr>
          <w:rFonts w:ascii="Arial" w:eastAsiaTheme="majorHAnsi" w:hAnsi="Arial" w:cs="Arial"/>
          <w:sz w:val="22"/>
        </w:rPr>
        <w:t>May</w:t>
      </w:r>
      <w:r w:rsidRPr="005B4959">
        <w:rPr>
          <w:rFonts w:ascii="Arial" w:eastAsiaTheme="majorHAnsi" w:hAnsi="Arial" w:cs="Arial"/>
          <w:sz w:val="22"/>
        </w:rPr>
        <w:t xml:space="preserve"> 1</w:t>
      </w:r>
      <w:r w:rsidR="008127D3">
        <w:rPr>
          <w:rFonts w:ascii="Arial" w:eastAsiaTheme="majorHAnsi" w:hAnsi="Arial" w:cs="Arial"/>
          <w:sz w:val="22"/>
        </w:rPr>
        <w:t>7</w:t>
      </w:r>
      <w:r w:rsidR="00A60B72" w:rsidRPr="005B4959">
        <w:rPr>
          <w:rFonts w:ascii="Arial" w:eastAsiaTheme="majorHAnsi" w:hAnsi="Arial" w:cs="Arial"/>
          <w:sz w:val="22"/>
        </w:rPr>
        <w:t xml:space="preserve">   </w:t>
      </w:r>
      <w:r w:rsidRPr="005B4959">
        <w:rPr>
          <w:rFonts w:ascii="Arial" w:eastAsiaTheme="majorHAnsi" w:hAnsi="Arial" w:cs="Arial"/>
          <w:sz w:val="22"/>
        </w:rPr>
        <w:t xml:space="preserve">Create </w:t>
      </w:r>
      <w:r w:rsidR="00EF074B">
        <w:rPr>
          <w:rFonts w:ascii="Arial" w:eastAsiaTheme="majorHAnsi" w:hAnsi="Arial" w:cs="Arial"/>
          <w:sz w:val="22"/>
        </w:rPr>
        <w:t>OEP</w:t>
      </w:r>
      <w:r w:rsidRPr="005B4959">
        <w:rPr>
          <w:rFonts w:ascii="Arial" w:eastAsiaTheme="majorHAnsi" w:hAnsi="Arial" w:cs="Arial"/>
          <w:sz w:val="22"/>
        </w:rPr>
        <w:t xml:space="preserve"> "Recruitment Guidelines" and </w:t>
      </w:r>
      <w:r w:rsidR="00A60B72" w:rsidRPr="005B4959">
        <w:rPr>
          <w:rFonts w:ascii="Arial" w:eastAsiaTheme="majorHAnsi" w:hAnsi="Arial" w:cs="Arial"/>
          <w:sz w:val="22"/>
        </w:rPr>
        <w:t>request delivery</w:t>
      </w:r>
    </w:p>
    <w:p w14:paraId="3B743390" w14:textId="2F22AE2A" w:rsidR="00E75DA7" w:rsidRPr="005B4959" w:rsidRDefault="005B4959" w:rsidP="005B4959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  <w:r>
        <w:rPr>
          <w:rFonts w:ascii="Arial" w:eastAsiaTheme="majorHAnsi" w:hAnsi="Arial" w:cs="Arial"/>
          <w:sz w:val="22"/>
        </w:rPr>
        <w:t xml:space="preserve">                    to </w:t>
      </w:r>
      <w:r w:rsidR="00E75DA7" w:rsidRPr="005B4959">
        <w:rPr>
          <w:rFonts w:ascii="Arial" w:eastAsiaTheme="majorHAnsi" w:hAnsi="Arial" w:cs="Arial"/>
          <w:sz w:val="22"/>
        </w:rPr>
        <w:t>UMAP IS</w:t>
      </w:r>
    </w:p>
    <w:p w14:paraId="73EAE749" w14:textId="5AAE16B2" w:rsidR="00E75DA7" w:rsidRPr="008127D3" w:rsidRDefault="00E75DA7" w:rsidP="00E75DA7">
      <w:pPr>
        <w:widowControl/>
        <w:shd w:val="clear" w:color="auto" w:fill="FFFFFF"/>
        <w:rPr>
          <w:rFonts w:ascii="Arial" w:eastAsiaTheme="majorHAnsi" w:hAnsi="Arial" w:cs="Arial"/>
          <w:b/>
          <w:sz w:val="22"/>
          <w:u w:val="single"/>
        </w:rPr>
      </w:pPr>
      <w:r w:rsidRPr="005B4959">
        <w:rPr>
          <w:rFonts w:ascii="Arial" w:eastAsiaTheme="majorHAnsi" w:hAnsi="Arial" w:cs="Arial"/>
          <w:sz w:val="22"/>
        </w:rPr>
        <w:t xml:space="preserve">1. </w:t>
      </w:r>
      <w:r w:rsidR="008127D3">
        <w:rPr>
          <w:rFonts w:ascii="Arial" w:eastAsiaTheme="majorHAnsi" w:hAnsi="Arial" w:cs="Arial"/>
          <w:sz w:val="22"/>
        </w:rPr>
        <w:t>May</w:t>
      </w:r>
      <w:r w:rsidRP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>20</w:t>
      </w:r>
      <w:r w:rsidR="00A60B72" w:rsidRPr="005B4959">
        <w:rPr>
          <w:rFonts w:ascii="Arial" w:eastAsiaTheme="majorHAnsi" w:hAnsi="Arial" w:cs="Arial"/>
          <w:sz w:val="22"/>
        </w:rPr>
        <w:t xml:space="preserve"> - </w:t>
      </w:r>
      <w:r w:rsidR="008127D3">
        <w:rPr>
          <w:rFonts w:ascii="Arial" w:eastAsiaTheme="majorHAnsi" w:hAnsi="Arial" w:cs="Arial"/>
          <w:sz w:val="22"/>
        </w:rPr>
        <w:t>June</w:t>
      </w:r>
      <w:r w:rsidRP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>23</w:t>
      </w:r>
      <w:r w:rsidR="00A60B72" w:rsidRPr="005B4959">
        <w:rPr>
          <w:rFonts w:ascii="Arial" w:eastAsiaTheme="majorHAnsi" w:hAnsi="Arial" w:cs="Arial"/>
          <w:sz w:val="22"/>
        </w:rPr>
        <w:t xml:space="preserve">  </w:t>
      </w:r>
      <w:r w:rsidR="006040E2" w:rsidRPr="005B4959">
        <w:rPr>
          <w:rFonts w:ascii="Arial" w:eastAsiaTheme="majorHAnsi" w:hAnsi="Arial" w:cs="Arial"/>
          <w:sz w:val="22"/>
        </w:rPr>
        <w:t xml:space="preserve"> </w:t>
      </w:r>
      <w:r w:rsidRPr="008127D3">
        <w:rPr>
          <w:rFonts w:ascii="Arial" w:eastAsiaTheme="majorHAnsi" w:hAnsi="Arial" w:cs="Arial"/>
          <w:b/>
          <w:sz w:val="22"/>
          <w:u w:val="single"/>
        </w:rPr>
        <w:t xml:space="preserve">Program </w:t>
      </w:r>
      <w:r w:rsidR="007C673A" w:rsidRPr="008127D3">
        <w:rPr>
          <w:rFonts w:ascii="Arial" w:eastAsiaTheme="majorHAnsi" w:hAnsi="Arial" w:cs="Arial"/>
          <w:b/>
          <w:sz w:val="22"/>
          <w:u w:val="single"/>
        </w:rPr>
        <w:t>c</w:t>
      </w:r>
      <w:r w:rsidRPr="008127D3">
        <w:rPr>
          <w:rFonts w:ascii="Arial" w:eastAsiaTheme="majorHAnsi" w:hAnsi="Arial" w:cs="Arial"/>
          <w:b/>
          <w:sz w:val="22"/>
          <w:u w:val="single"/>
        </w:rPr>
        <w:t>all (enrollment period at participating universities)</w:t>
      </w:r>
    </w:p>
    <w:p w14:paraId="63A99A15" w14:textId="0CB1FEC5" w:rsidR="008127D3" w:rsidRPr="005B4959" w:rsidRDefault="008127D3" w:rsidP="00E75DA7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  <w:r>
        <w:rPr>
          <w:rFonts w:ascii="Arial" w:eastAsiaTheme="majorHAnsi" w:hAnsi="Arial" w:cs="Arial"/>
          <w:sz w:val="22"/>
        </w:rPr>
        <w:t>2</w:t>
      </w:r>
      <w:r w:rsidRPr="005B4959">
        <w:rPr>
          <w:rFonts w:ascii="Arial" w:eastAsiaTheme="majorHAnsi" w:hAnsi="Arial" w:cs="Arial"/>
          <w:sz w:val="22"/>
        </w:rPr>
        <w:t>. Ju</w:t>
      </w:r>
      <w:r>
        <w:rPr>
          <w:rFonts w:ascii="Arial" w:eastAsiaTheme="majorHAnsi" w:hAnsi="Arial" w:cs="Arial"/>
          <w:sz w:val="22"/>
        </w:rPr>
        <w:t>ne 24</w:t>
      </w:r>
      <w:r w:rsidRPr="005B4959">
        <w:rPr>
          <w:rFonts w:ascii="Arial" w:eastAsiaTheme="majorHAnsi" w:hAnsi="Arial" w:cs="Arial"/>
          <w:sz w:val="22"/>
        </w:rPr>
        <w:t xml:space="preserve">- </w:t>
      </w:r>
      <w:r>
        <w:rPr>
          <w:rFonts w:ascii="Arial" w:eastAsiaTheme="majorHAnsi" w:hAnsi="Arial" w:cs="Arial"/>
          <w:sz w:val="22"/>
        </w:rPr>
        <w:t>July</w:t>
      </w:r>
      <w:r w:rsidRPr="005B4959">
        <w:rPr>
          <w:rFonts w:ascii="Arial" w:eastAsiaTheme="majorHAnsi" w:hAnsi="Arial" w:cs="Arial"/>
          <w:sz w:val="22"/>
        </w:rPr>
        <w:t xml:space="preserve"> </w:t>
      </w:r>
      <w:r>
        <w:rPr>
          <w:rFonts w:ascii="Arial" w:eastAsiaTheme="majorHAnsi" w:hAnsi="Arial" w:cs="Arial"/>
          <w:sz w:val="22"/>
        </w:rPr>
        <w:t>7</w:t>
      </w:r>
      <w:r w:rsidRPr="005B4959">
        <w:rPr>
          <w:rFonts w:ascii="Arial" w:eastAsiaTheme="majorHAnsi" w:hAnsi="Arial" w:cs="Arial"/>
          <w:sz w:val="22"/>
        </w:rPr>
        <w:t xml:space="preserve">   </w:t>
      </w:r>
      <w:r>
        <w:rPr>
          <w:rFonts w:ascii="Arial" w:eastAsiaTheme="majorHAnsi" w:hAnsi="Arial" w:cs="Arial"/>
          <w:sz w:val="22"/>
        </w:rPr>
        <w:t xml:space="preserve"> </w:t>
      </w:r>
      <w:r>
        <w:rPr>
          <w:rFonts w:ascii="Arial" w:eastAsiaTheme="majorHAnsi" w:hAnsi="Arial" w:cs="Arial" w:hint="eastAsia"/>
          <w:sz w:val="22"/>
        </w:rPr>
        <w:t xml:space="preserve"> </w:t>
      </w:r>
      <w:r w:rsidRPr="005B4959">
        <w:rPr>
          <w:rFonts w:ascii="Arial" w:eastAsiaTheme="majorHAnsi" w:hAnsi="Arial" w:cs="Arial"/>
          <w:sz w:val="22"/>
        </w:rPr>
        <w:t>Program check</w:t>
      </w:r>
      <w:r>
        <w:rPr>
          <w:rFonts w:ascii="Arial" w:eastAsiaTheme="majorHAnsi" w:hAnsi="Arial" w:cs="Arial"/>
          <w:sz w:val="22"/>
        </w:rPr>
        <w:t xml:space="preserve"> and make a program list</w:t>
      </w:r>
    </w:p>
    <w:p w14:paraId="15B7E2C5" w14:textId="0395BDE1" w:rsidR="00E75DA7" w:rsidRPr="005B4959" w:rsidRDefault="008127D3" w:rsidP="00E75DA7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  <w:r>
        <w:rPr>
          <w:rFonts w:ascii="Arial" w:eastAsiaTheme="majorHAnsi" w:hAnsi="Arial" w:cs="Arial"/>
          <w:sz w:val="22"/>
        </w:rPr>
        <w:t>3</w:t>
      </w:r>
      <w:r w:rsidR="00E75DA7" w:rsidRPr="005B4959">
        <w:rPr>
          <w:rFonts w:ascii="Arial" w:eastAsiaTheme="majorHAnsi" w:hAnsi="Arial" w:cs="Arial"/>
          <w:sz w:val="22"/>
        </w:rPr>
        <w:t>. J</w:t>
      </w:r>
      <w:r>
        <w:rPr>
          <w:rFonts w:ascii="Arial" w:eastAsiaTheme="majorHAnsi" w:hAnsi="Arial" w:cs="Arial"/>
          <w:sz w:val="22"/>
        </w:rPr>
        <w:t>uly</w:t>
      </w:r>
      <w:r w:rsidR="00E75DA7" w:rsidRPr="005B4959">
        <w:rPr>
          <w:rFonts w:ascii="Arial" w:eastAsiaTheme="majorHAnsi" w:hAnsi="Arial" w:cs="Arial"/>
          <w:sz w:val="22"/>
        </w:rPr>
        <w:t xml:space="preserve"> </w:t>
      </w:r>
      <w:r>
        <w:rPr>
          <w:rFonts w:ascii="Arial" w:eastAsiaTheme="majorHAnsi" w:hAnsi="Arial" w:cs="Arial"/>
          <w:sz w:val="22"/>
        </w:rPr>
        <w:t>8</w:t>
      </w:r>
      <w:r w:rsidR="00A60B72" w:rsidRPr="005B4959">
        <w:rPr>
          <w:rFonts w:ascii="Arial" w:eastAsiaTheme="majorHAnsi" w:hAnsi="Arial" w:cs="Arial"/>
          <w:sz w:val="22"/>
        </w:rPr>
        <w:t xml:space="preserve">           </w:t>
      </w:r>
      <w:r>
        <w:rPr>
          <w:rFonts w:ascii="Arial" w:eastAsiaTheme="majorHAnsi" w:hAnsi="Arial" w:cs="Arial"/>
          <w:sz w:val="22"/>
        </w:rPr>
        <w:t xml:space="preserve">  </w:t>
      </w:r>
      <w:r w:rsidR="00023480" w:rsidRPr="005B4959">
        <w:rPr>
          <w:rFonts w:ascii="Arial" w:eastAsiaTheme="majorHAnsi" w:hAnsi="Arial" w:cs="Arial"/>
          <w:sz w:val="22"/>
        </w:rPr>
        <w:t>Notification of</w:t>
      </w:r>
      <w:r w:rsidR="00023480">
        <w:rPr>
          <w:rFonts w:ascii="Arial" w:eastAsiaTheme="majorHAnsi" w:hAnsi="Arial" w:cs="Arial"/>
          <w:sz w:val="22"/>
        </w:rPr>
        <w:t xml:space="preserve"> results to</w:t>
      </w:r>
      <w:r w:rsidR="00522044" w:rsidRPr="005B4959">
        <w:rPr>
          <w:rFonts w:ascii="Arial" w:eastAsiaTheme="majorHAnsi" w:hAnsi="Arial" w:cs="Arial"/>
          <w:sz w:val="22"/>
        </w:rPr>
        <w:t xml:space="preserve"> </w:t>
      </w:r>
      <w:r w:rsidR="00E75DA7" w:rsidRPr="005B4959">
        <w:rPr>
          <w:rFonts w:ascii="Arial" w:eastAsiaTheme="majorHAnsi" w:hAnsi="Arial" w:cs="Arial"/>
          <w:sz w:val="22"/>
        </w:rPr>
        <w:t>participating universities</w:t>
      </w:r>
    </w:p>
    <w:p w14:paraId="2A4C67B9" w14:textId="51FE6F3C" w:rsidR="00E75DA7" w:rsidRPr="005B4959" w:rsidRDefault="008127D3" w:rsidP="008127D3">
      <w:pPr>
        <w:widowControl/>
        <w:shd w:val="clear" w:color="auto" w:fill="FFFFFF"/>
        <w:ind w:firstLineChars="400" w:firstLine="880"/>
        <w:rPr>
          <w:rFonts w:ascii="Arial" w:eastAsiaTheme="majorHAnsi" w:hAnsi="Arial" w:cs="Arial"/>
          <w:sz w:val="22"/>
        </w:rPr>
      </w:pPr>
      <w:r>
        <w:rPr>
          <w:rFonts w:ascii="Arial" w:eastAsiaTheme="majorHAnsi" w:hAnsi="Arial" w:cs="Arial"/>
          <w:sz w:val="22"/>
        </w:rPr>
        <w:t xml:space="preserve"> </w:t>
      </w:r>
      <w:r w:rsidR="00A60B72" w:rsidRPr="005B4959">
        <w:rPr>
          <w:rFonts w:ascii="Arial" w:eastAsiaTheme="majorHAnsi" w:hAnsi="Arial" w:cs="Arial"/>
          <w:sz w:val="22"/>
        </w:rPr>
        <w:t xml:space="preserve">      </w:t>
      </w:r>
      <w:r>
        <w:rPr>
          <w:rFonts w:ascii="Arial" w:eastAsiaTheme="majorHAnsi" w:hAnsi="Arial" w:cs="Arial"/>
          <w:sz w:val="22"/>
        </w:rPr>
        <w:t xml:space="preserve">  </w:t>
      </w:r>
      <w:r w:rsidR="00A60B72" w:rsidRPr="005B4959">
        <w:rPr>
          <w:rFonts w:ascii="Arial" w:eastAsiaTheme="majorHAnsi" w:hAnsi="Arial" w:cs="Arial"/>
          <w:sz w:val="22"/>
        </w:rPr>
        <w:t xml:space="preserve">  </w:t>
      </w:r>
      <w:r w:rsidR="005B4959">
        <w:rPr>
          <w:rFonts w:ascii="Arial" w:eastAsiaTheme="majorHAnsi" w:hAnsi="Arial" w:cs="Arial"/>
          <w:sz w:val="22"/>
        </w:rPr>
        <w:t xml:space="preserve"> </w:t>
      </w:r>
      <w:r>
        <w:rPr>
          <w:rFonts w:ascii="Arial" w:eastAsiaTheme="majorHAnsi" w:hAnsi="Arial" w:cs="Arial"/>
          <w:sz w:val="22"/>
        </w:rPr>
        <w:t>Release of the program list (to students)</w:t>
      </w:r>
    </w:p>
    <w:p w14:paraId="5033EB2A" w14:textId="4053FF25" w:rsidR="00E75DA7" w:rsidRPr="008127D3" w:rsidRDefault="00CF1D7B" w:rsidP="005642AE">
      <w:pPr>
        <w:widowControl/>
        <w:shd w:val="clear" w:color="auto" w:fill="FFFFFF"/>
        <w:ind w:left="2420" w:hangingChars="1100" w:hanging="2420"/>
        <w:rPr>
          <w:rFonts w:ascii="Arial" w:eastAsiaTheme="majorHAnsi" w:hAnsi="Arial" w:cs="Arial"/>
          <w:b/>
          <w:sz w:val="22"/>
          <w:u w:val="single"/>
        </w:rPr>
      </w:pPr>
      <w:r>
        <w:rPr>
          <w:rFonts w:ascii="Arial" w:eastAsiaTheme="majorHAnsi" w:hAnsi="Arial" w:cs="Arial"/>
          <w:sz w:val="22"/>
        </w:rPr>
        <w:t>4</w:t>
      </w:r>
      <w:r w:rsidR="00E75DA7" w:rsidRPr="005B4959">
        <w:rPr>
          <w:rFonts w:ascii="Arial" w:eastAsiaTheme="majorHAnsi" w:hAnsi="Arial" w:cs="Arial"/>
          <w:sz w:val="22"/>
        </w:rPr>
        <w:t xml:space="preserve">. </w:t>
      </w:r>
      <w:r w:rsidR="008127D3">
        <w:rPr>
          <w:rFonts w:ascii="Arial" w:eastAsiaTheme="majorHAnsi" w:hAnsi="Arial" w:cs="Arial"/>
          <w:sz w:val="22"/>
        </w:rPr>
        <w:t>July 11</w:t>
      </w:r>
      <w:r w:rsidR="00A60B72" w:rsidRP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>-</w:t>
      </w:r>
      <w:r w:rsidR="00A60B72" w:rsidRP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 xml:space="preserve">July </w:t>
      </w:r>
      <w:r w:rsidR="00E75DA7" w:rsidRPr="005B4959">
        <w:rPr>
          <w:rFonts w:ascii="Arial" w:eastAsiaTheme="majorHAnsi" w:hAnsi="Arial" w:cs="Arial"/>
          <w:sz w:val="22"/>
        </w:rPr>
        <w:t xml:space="preserve">24 </w:t>
      </w:r>
      <w:r w:rsidR="00A60B72" w:rsidRPr="005B4959">
        <w:rPr>
          <w:rFonts w:ascii="Arial" w:eastAsiaTheme="majorHAnsi" w:hAnsi="Arial" w:cs="Arial"/>
          <w:sz w:val="22"/>
        </w:rPr>
        <w:t xml:space="preserve"> </w:t>
      </w:r>
      <w:r w:rsidR="005B4959">
        <w:rPr>
          <w:rFonts w:ascii="Arial" w:eastAsiaTheme="majorHAnsi" w:hAnsi="Arial" w:cs="Arial"/>
          <w:sz w:val="22"/>
        </w:rPr>
        <w:t xml:space="preserve"> </w:t>
      </w:r>
      <w:r w:rsidR="00E75DA7" w:rsidRPr="008127D3">
        <w:rPr>
          <w:rFonts w:ascii="Arial" w:eastAsiaTheme="majorHAnsi" w:hAnsi="Arial" w:cs="Arial"/>
          <w:b/>
          <w:sz w:val="22"/>
          <w:u w:val="single"/>
        </w:rPr>
        <w:t>Student application period (</w:t>
      </w:r>
      <w:r w:rsidR="007C673A" w:rsidRPr="008127D3">
        <w:rPr>
          <w:rFonts w:ascii="Arial" w:eastAsiaTheme="majorHAnsi" w:hAnsi="Arial" w:cs="Arial"/>
          <w:b/>
          <w:sz w:val="22"/>
          <w:u w:val="single"/>
        </w:rPr>
        <w:t>r</w:t>
      </w:r>
      <w:r w:rsidR="00E75DA7" w:rsidRPr="008127D3">
        <w:rPr>
          <w:rFonts w:ascii="Arial" w:eastAsiaTheme="majorHAnsi" w:hAnsi="Arial" w:cs="Arial"/>
          <w:b/>
          <w:sz w:val="22"/>
          <w:u w:val="single"/>
        </w:rPr>
        <w:t>ecruitment reception)</w:t>
      </w:r>
    </w:p>
    <w:p w14:paraId="72D1849E" w14:textId="716FF698" w:rsidR="00E75DA7" w:rsidRPr="005B4959" w:rsidRDefault="00CF1D7B" w:rsidP="00E75DA7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  <w:r>
        <w:rPr>
          <w:rFonts w:ascii="Arial" w:eastAsiaTheme="majorHAnsi" w:hAnsi="Arial" w:cs="Arial"/>
          <w:sz w:val="22"/>
        </w:rPr>
        <w:t>5</w:t>
      </w:r>
      <w:r w:rsidR="00E75DA7" w:rsidRPr="005B4959">
        <w:rPr>
          <w:rFonts w:ascii="Arial" w:eastAsiaTheme="majorHAnsi" w:hAnsi="Arial" w:cs="Arial"/>
          <w:sz w:val="22"/>
        </w:rPr>
        <w:t xml:space="preserve">. </w:t>
      </w:r>
      <w:r w:rsidR="008127D3">
        <w:rPr>
          <w:rFonts w:ascii="Arial" w:eastAsiaTheme="majorHAnsi" w:hAnsi="Arial" w:cs="Arial"/>
          <w:sz w:val="22"/>
        </w:rPr>
        <w:t>July</w:t>
      </w:r>
      <w:r w:rsidR="00E75DA7" w:rsidRPr="005B4959">
        <w:rPr>
          <w:rFonts w:ascii="Arial" w:eastAsiaTheme="majorHAnsi" w:hAnsi="Arial" w:cs="Arial"/>
          <w:sz w:val="22"/>
        </w:rPr>
        <w:t xml:space="preserve"> 2</w:t>
      </w:r>
      <w:r w:rsidR="008127D3">
        <w:rPr>
          <w:rFonts w:ascii="Arial" w:eastAsiaTheme="majorHAnsi" w:hAnsi="Arial" w:cs="Arial"/>
          <w:sz w:val="22"/>
        </w:rPr>
        <w:t>5</w:t>
      </w:r>
      <w:r w:rsidR="00A60B72" w:rsidRPr="005B4959">
        <w:rPr>
          <w:rFonts w:ascii="Arial" w:eastAsiaTheme="majorHAnsi" w:hAnsi="Arial" w:cs="Arial"/>
          <w:sz w:val="22"/>
        </w:rPr>
        <w:t xml:space="preserve"> - </w:t>
      </w:r>
      <w:r w:rsidR="008127D3">
        <w:rPr>
          <w:rFonts w:ascii="Arial" w:eastAsiaTheme="majorHAnsi" w:hAnsi="Arial" w:cs="Arial"/>
          <w:sz w:val="22"/>
        </w:rPr>
        <w:t>August</w:t>
      </w:r>
      <w:r w:rsidR="00E75DA7" w:rsidRPr="005B4959">
        <w:rPr>
          <w:rFonts w:ascii="Arial" w:eastAsiaTheme="majorHAnsi" w:hAnsi="Arial" w:cs="Arial"/>
          <w:sz w:val="22"/>
        </w:rPr>
        <w:t xml:space="preserve"> </w:t>
      </w:r>
      <w:proofErr w:type="gramStart"/>
      <w:r w:rsidR="00E75DA7" w:rsidRPr="005B4959">
        <w:rPr>
          <w:rFonts w:ascii="Arial" w:eastAsiaTheme="majorHAnsi" w:hAnsi="Arial" w:cs="Arial"/>
          <w:sz w:val="22"/>
        </w:rPr>
        <w:t>3</w:t>
      </w:r>
      <w:r w:rsidR="006040E2" w:rsidRPr="005B4959">
        <w:rPr>
          <w:rFonts w:ascii="Arial" w:eastAsiaTheme="majorHAnsi" w:hAnsi="Arial" w:cs="Arial" w:hint="eastAsia"/>
          <w:sz w:val="22"/>
        </w:rPr>
        <w:t xml:space="preserve"> </w:t>
      </w:r>
      <w:r w:rsidR="006040E2" w:rsidRPr="005B4959">
        <w:rPr>
          <w:rFonts w:ascii="Arial" w:eastAsiaTheme="majorHAnsi" w:hAnsi="Arial" w:cs="Arial"/>
          <w:sz w:val="22"/>
        </w:rPr>
        <w:t xml:space="preserve"> </w:t>
      </w:r>
      <w:r w:rsidR="00E75DA7" w:rsidRPr="005B4959">
        <w:rPr>
          <w:rFonts w:ascii="Arial" w:eastAsiaTheme="majorHAnsi" w:hAnsi="Arial" w:cs="Arial"/>
          <w:sz w:val="22"/>
        </w:rPr>
        <w:t>Matching</w:t>
      </w:r>
      <w:proofErr w:type="gramEnd"/>
      <w:r w:rsidR="00E75DA7" w:rsidRPr="005B4959">
        <w:rPr>
          <w:rFonts w:ascii="Arial" w:eastAsiaTheme="majorHAnsi" w:hAnsi="Arial" w:cs="Arial"/>
          <w:sz w:val="22"/>
        </w:rPr>
        <w:t xml:space="preserve"> </w:t>
      </w:r>
      <w:r w:rsidR="00522044" w:rsidRPr="005B4959">
        <w:rPr>
          <w:rFonts w:ascii="Arial" w:eastAsiaTheme="majorHAnsi" w:hAnsi="Arial" w:cs="Arial"/>
          <w:sz w:val="22"/>
        </w:rPr>
        <w:t xml:space="preserve">and </w:t>
      </w:r>
      <w:r w:rsidR="007C673A">
        <w:rPr>
          <w:rFonts w:ascii="Arial" w:eastAsiaTheme="majorHAnsi" w:hAnsi="Arial" w:cs="Arial"/>
          <w:sz w:val="22"/>
        </w:rPr>
        <w:t>a</w:t>
      </w:r>
      <w:r w:rsidR="00E75DA7" w:rsidRPr="005B4959">
        <w:rPr>
          <w:rFonts w:ascii="Arial" w:eastAsiaTheme="majorHAnsi" w:hAnsi="Arial" w:cs="Arial"/>
          <w:sz w:val="22"/>
        </w:rPr>
        <w:t>rrangement adjustment</w:t>
      </w:r>
    </w:p>
    <w:p w14:paraId="1BEECD57" w14:textId="6F542259" w:rsidR="006040E2" w:rsidRPr="005B4959" w:rsidRDefault="00CF1D7B" w:rsidP="00E75DA7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  <w:r>
        <w:rPr>
          <w:rFonts w:ascii="Arial" w:eastAsiaTheme="majorHAnsi" w:hAnsi="Arial" w:cs="Arial"/>
          <w:sz w:val="22"/>
        </w:rPr>
        <w:t>6</w:t>
      </w:r>
      <w:r w:rsidR="00E75DA7" w:rsidRPr="005B4959">
        <w:rPr>
          <w:rFonts w:ascii="Arial" w:eastAsiaTheme="majorHAnsi" w:hAnsi="Arial" w:cs="Arial"/>
          <w:sz w:val="22"/>
        </w:rPr>
        <w:t>. August</w:t>
      </w:r>
      <w:r w:rsidR="006040E2" w:rsidRP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>4</w:t>
      </w:r>
      <w:r w:rsidR="006040E2" w:rsidRPr="005B4959">
        <w:rPr>
          <w:rFonts w:ascii="Arial" w:eastAsiaTheme="majorHAnsi" w:hAnsi="Arial" w:cs="Arial"/>
          <w:sz w:val="22"/>
        </w:rPr>
        <w:t xml:space="preserve">     </w:t>
      </w:r>
      <w:r w:rsidR="00E75DA7" w:rsidRPr="005B4959">
        <w:rPr>
          <w:rFonts w:ascii="Arial" w:eastAsiaTheme="majorHAnsi" w:hAnsi="Arial" w:cs="Arial"/>
          <w:sz w:val="22"/>
        </w:rPr>
        <w:t xml:space="preserve"> </w:t>
      </w:r>
      <w:r w:rsidR="005B4959">
        <w:rPr>
          <w:rFonts w:ascii="Arial" w:eastAsiaTheme="majorHAnsi" w:hAnsi="Arial" w:cs="Arial"/>
          <w:sz w:val="22"/>
        </w:rPr>
        <w:t xml:space="preserve"> </w:t>
      </w:r>
      <w:r w:rsidR="008127D3">
        <w:rPr>
          <w:rFonts w:ascii="Arial" w:eastAsiaTheme="majorHAnsi" w:hAnsi="Arial" w:cs="Arial"/>
          <w:sz w:val="22"/>
        </w:rPr>
        <w:t xml:space="preserve">  </w:t>
      </w:r>
      <w:r w:rsidR="005B4959">
        <w:rPr>
          <w:rFonts w:ascii="Arial" w:eastAsiaTheme="majorHAnsi" w:hAnsi="Arial" w:cs="Arial"/>
          <w:sz w:val="22"/>
        </w:rPr>
        <w:t xml:space="preserve"> </w:t>
      </w:r>
      <w:r w:rsidR="00023480" w:rsidRPr="005B4959">
        <w:rPr>
          <w:rFonts w:ascii="Arial" w:eastAsiaTheme="majorHAnsi" w:hAnsi="Arial" w:cs="Arial"/>
          <w:sz w:val="22"/>
        </w:rPr>
        <w:t>Notification of</w:t>
      </w:r>
      <w:r w:rsidR="00E75DA7" w:rsidRPr="005B4959">
        <w:rPr>
          <w:rFonts w:ascii="Arial" w:eastAsiaTheme="majorHAnsi" w:hAnsi="Arial" w:cs="Arial"/>
          <w:sz w:val="22"/>
        </w:rPr>
        <w:t xml:space="preserve"> </w:t>
      </w:r>
      <w:r w:rsidR="00AB03A0" w:rsidRPr="005B4959">
        <w:rPr>
          <w:rFonts w:ascii="Arial" w:eastAsiaTheme="majorHAnsi" w:hAnsi="Arial" w:cs="Arial"/>
          <w:sz w:val="22"/>
        </w:rPr>
        <w:t xml:space="preserve">the application results </w:t>
      </w:r>
      <w:r w:rsidR="00AB03A0">
        <w:rPr>
          <w:rFonts w:ascii="Arial" w:eastAsiaTheme="majorHAnsi" w:hAnsi="Arial" w:cs="Arial"/>
          <w:sz w:val="22"/>
        </w:rPr>
        <w:t xml:space="preserve">to </w:t>
      </w:r>
      <w:r w:rsidR="00E75DA7" w:rsidRPr="005B4959">
        <w:rPr>
          <w:rFonts w:ascii="Arial" w:eastAsiaTheme="majorHAnsi" w:hAnsi="Arial" w:cs="Arial"/>
          <w:sz w:val="22"/>
        </w:rPr>
        <w:t>students and universities</w:t>
      </w:r>
    </w:p>
    <w:p w14:paraId="786BA5F7" w14:textId="08808014" w:rsidR="006040E2" w:rsidRPr="005B4959" w:rsidRDefault="00E75DA7" w:rsidP="005B4959">
      <w:pPr>
        <w:widowControl/>
        <w:shd w:val="clear" w:color="auto" w:fill="FFFFFF"/>
        <w:ind w:firstLineChars="950" w:firstLine="2090"/>
        <w:rPr>
          <w:rFonts w:ascii="Arial" w:eastAsiaTheme="majorHAnsi" w:hAnsi="Arial" w:cs="Arial"/>
          <w:sz w:val="22"/>
        </w:rPr>
      </w:pPr>
      <w:r w:rsidRPr="005B4959">
        <w:rPr>
          <w:rFonts w:ascii="Arial" w:eastAsiaTheme="majorHAnsi" w:hAnsi="Arial" w:cs="Arial"/>
          <w:sz w:val="22"/>
        </w:rPr>
        <w:t>(completion of course</w:t>
      </w:r>
      <w:r w:rsidR="007C673A">
        <w:rPr>
          <w:rFonts w:ascii="Arial" w:eastAsiaTheme="majorHAnsi" w:hAnsi="Arial" w:cs="Arial"/>
          <w:sz w:val="22"/>
        </w:rPr>
        <w:t>s</w:t>
      </w:r>
      <w:r w:rsidRPr="005B4959">
        <w:rPr>
          <w:rFonts w:ascii="Arial" w:eastAsiaTheme="majorHAnsi" w:hAnsi="Arial" w:cs="Arial"/>
          <w:sz w:val="22"/>
        </w:rPr>
        <w:t xml:space="preserve">) </w:t>
      </w:r>
      <w:r w:rsidRPr="005B4959">
        <w:rPr>
          <w:rFonts w:ascii="ＭＳ ゴシック" w:eastAsia="ＭＳ ゴシック" w:hAnsi="ＭＳ ゴシック" w:cs="ＭＳ ゴシック" w:hint="eastAsia"/>
          <w:sz w:val="22"/>
        </w:rPr>
        <w:t>⇒</w:t>
      </w:r>
      <w:r w:rsidRPr="005B4959">
        <w:rPr>
          <w:rFonts w:ascii="Arial" w:eastAsiaTheme="majorHAnsi" w:hAnsi="Arial" w:cs="Arial"/>
          <w:sz w:val="22"/>
        </w:rPr>
        <w:t xml:space="preserve"> Go to the course procedure of </w:t>
      </w:r>
    </w:p>
    <w:p w14:paraId="6AD9A3D9" w14:textId="33485182" w:rsidR="00E75DA7" w:rsidRPr="005B4959" w:rsidRDefault="00E75DA7" w:rsidP="005B4959">
      <w:pPr>
        <w:widowControl/>
        <w:shd w:val="clear" w:color="auto" w:fill="FFFFFF"/>
        <w:ind w:firstLineChars="950" w:firstLine="2090"/>
        <w:rPr>
          <w:rFonts w:ascii="Arial" w:eastAsiaTheme="majorHAnsi" w:hAnsi="Arial" w:cs="Arial"/>
          <w:sz w:val="22"/>
        </w:rPr>
      </w:pPr>
      <w:r w:rsidRPr="005B4959">
        <w:rPr>
          <w:rFonts w:ascii="Arial" w:eastAsiaTheme="majorHAnsi" w:hAnsi="Arial" w:cs="Arial"/>
          <w:sz w:val="22"/>
        </w:rPr>
        <w:t>each university</w:t>
      </w:r>
    </w:p>
    <w:p w14:paraId="3A6F9ED0" w14:textId="77777777" w:rsidR="00E75DA7" w:rsidRPr="005B4959" w:rsidRDefault="00E75DA7" w:rsidP="00E75DA7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</w:p>
    <w:p w14:paraId="47D3B2D2" w14:textId="04314B65" w:rsidR="00E75DA7" w:rsidRPr="005B4959" w:rsidRDefault="00E75DA7" w:rsidP="00E75DA7">
      <w:pPr>
        <w:widowControl/>
        <w:shd w:val="clear" w:color="auto" w:fill="FFFFFF"/>
        <w:rPr>
          <w:rFonts w:ascii="Arial" w:eastAsiaTheme="majorHAnsi" w:hAnsi="Arial" w:cs="Arial"/>
          <w:sz w:val="22"/>
        </w:rPr>
      </w:pPr>
    </w:p>
    <w:sectPr w:rsidR="00E75DA7" w:rsidRPr="005B4959" w:rsidSect="00236E13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531E" w14:textId="77777777" w:rsidR="00E509C5" w:rsidRDefault="00E509C5" w:rsidP="00B76870">
      <w:r>
        <w:separator/>
      </w:r>
    </w:p>
  </w:endnote>
  <w:endnote w:type="continuationSeparator" w:id="0">
    <w:p w14:paraId="58802F6C" w14:textId="77777777" w:rsidR="00E509C5" w:rsidRDefault="00E509C5" w:rsidP="00B7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B2C1" w14:textId="3CFDEFF6" w:rsidR="00023480" w:rsidRPr="00236E13" w:rsidRDefault="00023480" w:rsidP="00575AE6">
    <w:pPr>
      <w:pStyle w:val="a5"/>
      <w:rPr>
        <w:sz w:val="24"/>
        <w:szCs w:val="24"/>
      </w:rPr>
    </w:pPr>
  </w:p>
  <w:p w14:paraId="554C6B8C" w14:textId="77777777" w:rsidR="00023480" w:rsidRDefault="00023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E5C2" w14:textId="77777777" w:rsidR="00E509C5" w:rsidRDefault="00E509C5" w:rsidP="00B76870">
      <w:r>
        <w:separator/>
      </w:r>
    </w:p>
  </w:footnote>
  <w:footnote w:type="continuationSeparator" w:id="0">
    <w:p w14:paraId="20D434B8" w14:textId="77777777" w:rsidR="00E509C5" w:rsidRDefault="00E509C5" w:rsidP="00B7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8DEFE" w14:textId="48527B71" w:rsidR="00023480" w:rsidRPr="00C11C19" w:rsidRDefault="00023480" w:rsidP="00C11C19">
    <w:pPr>
      <w:pStyle w:val="a3"/>
      <w:jc w:val="right"/>
      <w:rPr>
        <w:rFonts w:asciiTheme="majorHAnsi" w:eastAsiaTheme="majorHAnsi" w:hAnsiTheme="majorHAnsi"/>
        <w:sz w:val="24"/>
        <w:bdr w:val="single" w:sz="4" w:space="0" w:color="auto"/>
      </w:rPr>
    </w:pPr>
    <w:r w:rsidRPr="00170484">
      <w:rPr>
        <w:rFonts w:asciiTheme="majorHAnsi" w:eastAsiaTheme="majorHAnsi" w:hAnsiTheme="majorHAnsi" w:hint="eastAsia"/>
        <w:sz w:val="24"/>
        <w:bdr w:val="single" w:sz="4" w:space="0" w:color="auto"/>
      </w:rPr>
      <w:t>H</w:t>
    </w:r>
    <w:r w:rsidRPr="00170484">
      <w:rPr>
        <w:rFonts w:asciiTheme="majorHAnsi" w:eastAsiaTheme="majorHAnsi" w:hAnsiTheme="majorHAnsi"/>
        <w:sz w:val="24"/>
        <w:bdr w:val="single" w:sz="4" w:space="0" w:color="auto"/>
      </w:rPr>
      <w:t>andout 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0CA"/>
    <w:multiLevelType w:val="hybridMultilevel"/>
    <w:tmpl w:val="90DE36F0"/>
    <w:lvl w:ilvl="0" w:tplc="5C2EED3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6588E"/>
    <w:multiLevelType w:val="hybridMultilevel"/>
    <w:tmpl w:val="022E2156"/>
    <w:lvl w:ilvl="0" w:tplc="C62E850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565217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78"/>
    <w:rsid w:val="00023480"/>
    <w:rsid w:val="00063C74"/>
    <w:rsid w:val="00070E0F"/>
    <w:rsid w:val="00074855"/>
    <w:rsid w:val="00105AEB"/>
    <w:rsid w:val="00170484"/>
    <w:rsid w:val="001973C8"/>
    <w:rsid w:val="001A3EAF"/>
    <w:rsid w:val="001A7115"/>
    <w:rsid w:val="001B735B"/>
    <w:rsid w:val="002137A0"/>
    <w:rsid w:val="00236E13"/>
    <w:rsid w:val="0026390A"/>
    <w:rsid w:val="00274E7B"/>
    <w:rsid w:val="002A18B8"/>
    <w:rsid w:val="002B6095"/>
    <w:rsid w:val="002C28D1"/>
    <w:rsid w:val="002E5CAD"/>
    <w:rsid w:val="00402275"/>
    <w:rsid w:val="004651C5"/>
    <w:rsid w:val="00493A72"/>
    <w:rsid w:val="00522044"/>
    <w:rsid w:val="00524843"/>
    <w:rsid w:val="00531E77"/>
    <w:rsid w:val="005642AE"/>
    <w:rsid w:val="00567942"/>
    <w:rsid w:val="00575AE6"/>
    <w:rsid w:val="005A2E7D"/>
    <w:rsid w:val="005B4959"/>
    <w:rsid w:val="006040E2"/>
    <w:rsid w:val="00643CF7"/>
    <w:rsid w:val="006765EC"/>
    <w:rsid w:val="0067720F"/>
    <w:rsid w:val="00687A42"/>
    <w:rsid w:val="006A59B1"/>
    <w:rsid w:val="006B3409"/>
    <w:rsid w:val="006C2878"/>
    <w:rsid w:val="00705DF8"/>
    <w:rsid w:val="007B2374"/>
    <w:rsid w:val="007B6463"/>
    <w:rsid w:val="007C2AC6"/>
    <w:rsid w:val="007C673A"/>
    <w:rsid w:val="007C7290"/>
    <w:rsid w:val="008127D3"/>
    <w:rsid w:val="00876E6E"/>
    <w:rsid w:val="008808BA"/>
    <w:rsid w:val="00897C25"/>
    <w:rsid w:val="008A6F83"/>
    <w:rsid w:val="008C13F3"/>
    <w:rsid w:val="008C7596"/>
    <w:rsid w:val="008D00A6"/>
    <w:rsid w:val="008F59A5"/>
    <w:rsid w:val="009119EF"/>
    <w:rsid w:val="00931346"/>
    <w:rsid w:val="00937E68"/>
    <w:rsid w:val="00985E74"/>
    <w:rsid w:val="0098612F"/>
    <w:rsid w:val="009D160F"/>
    <w:rsid w:val="009D21C1"/>
    <w:rsid w:val="009E6EA5"/>
    <w:rsid w:val="009F1F18"/>
    <w:rsid w:val="00A23BA8"/>
    <w:rsid w:val="00A60B72"/>
    <w:rsid w:val="00AB03A0"/>
    <w:rsid w:val="00AD146A"/>
    <w:rsid w:val="00AD74A4"/>
    <w:rsid w:val="00AE017E"/>
    <w:rsid w:val="00B16FF8"/>
    <w:rsid w:val="00B73A54"/>
    <w:rsid w:val="00B76870"/>
    <w:rsid w:val="00B76D9A"/>
    <w:rsid w:val="00BB3603"/>
    <w:rsid w:val="00BC04DA"/>
    <w:rsid w:val="00BF5ABC"/>
    <w:rsid w:val="00BF6889"/>
    <w:rsid w:val="00C11C19"/>
    <w:rsid w:val="00C221E0"/>
    <w:rsid w:val="00C77C1A"/>
    <w:rsid w:val="00C93AA1"/>
    <w:rsid w:val="00CF1D7B"/>
    <w:rsid w:val="00D04917"/>
    <w:rsid w:val="00D2204B"/>
    <w:rsid w:val="00D85AAE"/>
    <w:rsid w:val="00DB195F"/>
    <w:rsid w:val="00DD1DA2"/>
    <w:rsid w:val="00E20CAC"/>
    <w:rsid w:val="00E509C5"/>
    <w:rsid w:val="00E60D16"/>
    <w:rsid w:val="00E72A01"/>
    <w:rsid w:val="00E739E4"/>
    <w:rsid w:val="00E75DA7"/>
    <w:rsid w:val="00E77ADB"/>
    <w:rsid w:val="00E86385"/>
    <w:rsid w:val="00ED568A"/>
    <w:rsid w:val="00EF074B"/>
    <w:rsid w:val="00F07919"/>
    <w:rsid w:val="00F660F6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7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870"/>
  </w:style>
  <w:style w:type="paragraph" w:styleId="a5">
    <w:name w:val="footer"/>
    <w:basedOn w:val="a"/>
    <w:link w:val="a6"/>
    <w:uiPriority w:val="99"/>
    <w:unhideWhenUsed/>
    <w:rsid w:val="00B76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870"/>
  </w:style>
  <w:style w:type="paragraph" w:styleId="a7">
    <w:name w:val="List Paragraph"/>
    <w:basedOn w:val="a"/>
    <w:uiPriority w:val="34"/>
    <w:qFormat/>
    <w:rsid w:val="00AE017E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4651C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4DA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4DA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21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21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21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21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21C1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1B7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ap.org/wp-content/uploads/2019/12/UCTS_Users_Guide_Revision-1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602F-589D-485C-B3B2-904907F4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2021-07-09T00:18:00Z</dcterms:created>
  <dcterms:modified xsi:type="dcterms:W3CDTF">2022-04-26T07:06:00Z</dcterms:modified>
</cp:coreProperties>
</file>